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99" w:rsidRDefault="00A85599"/>
    <w:p w:rsidR="00A85599" w:rsidRDefault="00A85599"/>
    <w:p w:rsidR="00A85599" w:rsidRDefault="00A85599"/>
    <w:p w:rsidR="00C8655D" w:rsidRDefault="00C8655D">
      <w:pPr>
        <w:rPr>
          <w:b/>
          <w:sz w:val="28"/>
          <w:szCs w:val="28"/>
        </w:rPr>
      </w:pPr>
    </w:p>
    <w:p w:rsidR="00C8655D" w:rsidRDefault="00C8655D">
      <w:pPr>
        <w:rPr>
          <w:b/>
          <w:sz w:val="28"/>
          <w:szCs w:val="28"/>
        </w:rPr>
      </w:pPr>
    </w:p>
    <w:p w:rsidR="00C8655D" w:rsidRDefault="00C8655D">
      <w:pPr>
        <w:rPr>
          <w:b/>
          <w:sz w:val="28"/>
          <w:szCs w:val="28"/>
        </w:rPr>
      </w:pPr>
    </w:p>
    <w:p w:rsidR="00EE5176" w:rsidRDefault="00EE5176">
      <w:pPr>
        <w:rPr>
          <w:b/>
          <w:sz w:val="28"/>
          <w:szCs w:val="28"/>
        </w:rPr>
      </w:pPr>
    </w:p>
    <w:p w:rsidR="00A85599" w:rsidRPr="00C8655D" w:rsidRDefault="000C1593">
      <w:pPr>
        <w:rPr>
          <w:b/>
          <w:sz w:val="28"/>
          <w:szCs w:val="28"/>
        </w:rPr>
      </w:pPr>
      <w:smartTag w:uri="urn:schemas-microsoft-com:office:smarttags" w:element="City">
        <w:smartTag w:uri="urn:schemas-microsoft-com:office:smarttags" w:element="place">
          <w:r w:rsidRPr="00C8655D">
            <w:rPr>
              <w:b/>
              <w:sz w:val="28"/>
              <w:szCs w:val="28"/>
            </w:rPr>
            <w:t>Arnold</w:t>
          </w:r>
        </w:smartTag>
      </w:smartTag>
      <w:r w:rsidRPr="00C8655D">
        <w:rPr>
          <w:b/>
          <w:sz w:val="28"/>
          <w:szCs w:val="28"/>
        </w:rPr>
        <w:t xml:space="preserve"> Economic Development Corporation</w:t>
      </w:r>
    </w:p>
    <w:p w:rsidR="000C1593" w:rsidRPr="00C8655D" w:rsidRDefault="0029793D">
      <w:pPr>
        <w:rPr>
          <w:b/>
          <w:sz w:val="28"/>
          <w:szCs w:val="28"/>
        </w:rPr>
      </w:pPr>
      <w:r>
        <w:rPr>
          <w:b/>
          <w:sz w:val="28"/>
          <w:szCs w:val="28"/>
        </w:rPr>
        <w:t xml:space="preserve">Loan </w:t>
      </w:r>
      <w:r w:rsidR="00F26EAD">
        <w:rPr>
          <w:b/>
          <w:sz w:val="28"/>
          <w:szCs w:val="28"/>
        </w:rPr>
        <w:t>Eligibility/</w:t>
      </w:r>
      <w:r w:rsidR="002A752B">
        <w:rPr>
          <w:b/>
          <w:sz w:val="28"/>
          <w:szCs w:val="28"/>
        </w:rPr>
        <w:t>Terms/Requirements/Guidelines</w:t>
      </w:r>
    </w:p>
    <w:p w:rsidR="000C1593" w:rsidRDefault="000C1593"/>
    <w:p w:rsidR="000C1593" w:rsidRDefault="000C1593"/>
    <w:p w:rsidR="000C1593" w:rsidRDefault="0029793D" w:rsidP="003F7AB7">
      <w:pPr>
        <w:pStyle w:val="Heading3"/>
      </w:pPr>
      <w:r>
        <w:t>Eligible Businesses</w:t>
      </w:r>
    </w:p>
    <w:p w:rsidR="0029793D" w:rsidRDefault="0029793D">
      <w:r>
        <w:t>Any corporation, partnership, limited liability company, or sole proprietorship without regard to its principal source of income, shall be a qualifying business under the Arnold Economic Development Program. A qualifying business need not be located within the territorial boundaries of the village</w:t>
      </w:r>
      <w:r w:rsidR="005515C1">
        <w:t xml:space="preserve">, but it should be within the </w:t>
      </w:r>
      <w:smartTag w:uri="urn:schemas-microsoft-com:office:smarttags" w:element="City">
        <w:smartTag w:uri="urn:schemas-microsoft-com:office:smarttags" w:element="place">
          <w:r w:rsidR="005515C1">
            <w:t>Arnold</w:t>
          </w:r>
        </w:smartTag>
      </w:smartTag>
      <w:r w:rsidR="005515C1">
        <w:t xml:space="preserve"> school district</w:t>
      </w:r>
      <w:r>
        <w:t>.</w:t>
      </w:r>
    </w:p>
    <w:p w:rsidR="0029793D" w:rsidRDefault="0029793D"/>
    <w:p w:rsidR="0029793D" w:rsidRDefault="0029793D" w:rsidP="003F7AB7">
      <w:pPr>
        <w:pStyle w:val="Heading3"/>
      </w:pPr>
      <w:r>
        <w:t xml:space="preserve">Eligible </w:t>
      </w:r>
      <w:r w:rsidR="00F26EAD">
        <w:t>Uses of Funds</w:t>
      </w:r>
    </w:p>
    <w:p w:rsidR="0029793D" w:rsidRDefault="0029793D">
      <w:r>
        <w:t xml:space="preserve">Examples of eligible activities under the Arnold Economic Development </w:t>
      </w:r>
      <w:r w:rsidR="00645C3C">
        <w:t>P</w:t>
      </w:r>
      <w:r>
        <w:t>rogram include, but are not limited to:</w:t>
      </w:r>
    </w:p>
    <w:p w:rsidR="00645C3C" w:rsidRDefault="00645C3C"/>
    <w:p w:rsidR="0029793D" w:rsidRDefault="00645C3C" w:rsidP="00645C3C">
      <w:pPr>
        <w:tabs>
          <w:tab w:val="decimal" w:pos="720"/>
        </w:tabs>
        <w:spacing w:after="120"/>
        <w:ind w:left="907" w:hanging="720"/>
      </w:pPr>
      <w:r>
        <w:tab/>
        <w:t>1.</w:t>
      </w:r>
      <w:r>
        <w:tab/>
      </w:r>
      <w:r w:rsidR="0029793D">
        <w:t>The purchase</w:t>
      </w:r>
      <w:r w:rsidR="003F7AB7">
        <w:t xml:space="preserve"> or lease</w:t>
      </w:r>
      <w:r w:rsidR="0029793D">
        <w:t xml:space="preserve"> of real estate</w:t>
      </w:r>
    </w:p>
    <w:p w:rsidR="003F7AB7" w:rsidRDefault="00645C3C" w:rsidP="00645C3C">
      <w:pPr>
        <w:tabs>
          <w:tab w:val="decimal" w:pos="720"/>
        </w:tabs>
        <w:spacing w:after="120"/>
        <w:ind w:left="907" w:hanging="720"/>
      </w:pPr>
      <w:r>
        <w:tab/>
        <w:t>2.</w:t>
      </w:r>
      <w:r>
        <w:tab/>
      </w:r>
      <w:r w:rsidR="003F7AB7">
        <w:t>New construction or remodel</w:t>
      </w:r>
    </w:p>
    <w:p w:rsidR="003F7AB7" w:rsidRDefault="00645C3C" w:rsidP="00645C3C">
      <w:pPr>
        <w:tabs>
          <w:tab w:val="decimal" w:pos="720"/>
        </w:tabs>
        <w:spacing w:after="120"/>
        <w:ind w:left="907" w:hanging="720"/>
      </w:pPr>
      <w:r>
        <w:tab/>
        <w:t>3.</w:t>
      </w:r>
      <w:r>
        <w:tab/>
      </w:r>
      <w:r w:rsidR="003F7AB7">
        <w:t>Purchase fixed assets</w:t>
      </w:r>
    </w:p>
    <w:p w:rsidR="003F7AB7" w:rsidRDefault="00645C3C" w:rsidP="00645C3C">
      <w:pPr>
        <w:tabs>
          <w:tab w:val="decimal" w:pos="720"/>
        </w:tabs>
        <w:spacing w:after="120"/>
        <w:ind w:left="907" w:hanging="720"/>
      </w:pPr>
      <w:r>
        <w:tab/>
        <w:t>4.</w:t>
      </w:r>
      <w:r>
        <w:tab/>
      </w:r>
      <w:r w:rsidR="003F7AB7">
        <w:t>Use as working capital</w:t>
      </w:r>
    </w:p>
    <w:p w:rsidR="0029793D" w:rsidRDefault="00645C3C" w:rsidP="00645C3C">
      <w:pPr>
        <w:tabs>
          <w:tab w:val="decimal" w:pos="720"/>
        </w:tabs>
        <w:spacing w:after="120"/>
        <w:ind w:left="907" w:hanging="720"/>
      </w:pPr>
      <w:r>
        <w:tab/>
        <w:t>5.</w:t>
      </w:r>
      <w:r>
        <w:tab/>
      </w:r>
      <w:r w:rsidR="0029793D">
        <w:t>Public works improvements essential to the location or expansion of a qualifying business</w:t>
      </w:r>
    </w:p>
    <w:p w:rsidR="0029793D" w:rsidRDefault="00645C3C" w:rsidP="00645C3C">
      <w:pPr>
        <w:tabs>
          <w:tab w:val="decimal" w:pos="720"/>
        </w:tabs>
        <w:spacing w:after="120"/>
        <w:ind w:left="907" w:hanging="720"/>
      </w:pPr>
      <w:r>
        <w:tab/>
        <w:t>6.</w:t>
      </w:r>
      <w:r>
        <w:tab/>
      </w:r>
      <w:r w:rsidR="0029793D">
        <w:t>Expenses for locating a qualifying business into the area or an existing business to a more suitable location</w:t>
      </w:r>
    </w:p>
    <w:p w:rsidR="0029793D" w:rsidRDefault="00645C3C" w:rsidP="00645C3C">
      <w:pPr>
        <w:tabs>
          <w:tab w:val="decimal" w:pos="720"/>
        </w:tabs>
        <w:spacing w:after="120"/>
        <w:ind w:left="907" w:hanging="720"/>
      </w:pPr>
      <w:r>
        <w:tab/>
        <w:t>7.</w:t>
      </w:r>
      <w:r>
        <w:tab/>
      </w:r>
      <w:r w:rsidR="00A30301">
        <w:t>Job creation</w:t>
      </w:r>
    </w:p>
    <w:p w:rsidR="0029793D" w:rsidRDefault="00645C3C" w:rsidP="00645C3C">
      <w:pPr>
        <w:tabs>
          <w:tab w:val="decimal" w:pos="720"/>
        </w:tabs>
        <w:spacing w:after="120"/>
        <w:ind w:left="907" w:hanging="720"/>
      </w:pPr>
      <w:r>
        <w:tab/>
        <w:t>8.</w:t>
      </w:r>
      <w:r>
        <w:tab/>
      </w:r>
      <w:r w:rsidR="00CC21FC">
        <w:t>Technical</w:t>
      </w:r>
      <w:r w:rsidR="0029793D">
        <w:t xml:space="preserve"> assistance such as marketing assistance, management counseling, preparing business plans, engineering assistance, etc.</w:t>
      </w:r>
    </w:p>
    <w:p w:rsidR="0029793D" w:rsidRDefault="00645C3C" w:rsidP="00645C3C">
      <w:pPr>
        <w:tabs>
          <w:tab w:val="decimal" w:pos="720"/>
        </w:tabs>
        <w:spacing w:after="120"/>
        <w:ind w:left="907" w:hanging="720"/>
      </w:pPr>
      <w:r>
        <w:tab/>
        <w:t>9.</w:t>
      </w:r>
      <w:r>
        <w:tab/>
      </w:r>
      <w:r w:rsidR="0029793D">
        <w:t>Job training</w:t>
      </w:r>
    </w:p>
    <w:p w:rsidR="0029793D" w:rsidRDefault="00645C3C" w:rsidP="00645C3C">
      <w:pPr>
        <w:tabs>
          <w:tab w:val="decimal" w:pos="720"/>
        </w:tabs>
        <w:spacing w:after="120"/>
        <w:ind w:left="907" w:hanging="720"/>
      </w:pPr>
      <w:r>
        <w:tab/>
        <w:t>10.</w:t>
      </w:r>
      <w:r>
        <w:tab/>
      </w:r>
      <w:r w:rsidR="0029793D">
        <w:t>Tourism-related activities</w:t>
      </w:r>
    </w:p>
    <w:p w:rsidR="00A30301" w:rsidRDefault="00645C3C" w:rsidP="00645C3C">
      <w:pPr>
        <w:tabs>
          <w:tab w:val="decimal" w:pos="720"/>
        </w:tabs>
        <w:ind w:left="900" w:hanging="720"/>
      </w:pPr>
      <w:r>
        <w:tab/>
        <w:t>11.</w:t>
      </w:r>
      <w:r>
        <w:tab/>
      </w:r>
      <w:r w:rsidR="00A30301">
        <w:t xml:space="preserve">Projects which enhance the development of downtown </w:t>
      </w:r>
      <w:smartTag w:uri="urn:schemas-microsoft-com:office:smarttags" w:element="place">
        <w:smartTag w:uri="urn:schemas-microsoft-com:office:smarttags" w:element="City">
          <w:r w:rsidR="00A30301">
            <w:t>Arnold</w:t>
          </w:r>
        </w:smartTag>
      </w:smartTag>
    </w:p>
    <w:p w:rsidR="0029793D" w:rsidRDefault="0029793D" w:rsidP="00CC21FC"/>
    <w:p w:rsidR="000C1593" w:rsidRDefault="000C1593"/>
    <w:p w:rsidR="00AF3726" w:rsidRDefault="00AF3726"/>
    <w:p w:rsidR="00A85599" w:rsidRDefault="00A85599"/>
    <w:p w:rsidR="00E4797D" w:rsidRDefault="00030F0B" w:rsidP="00030F0B">
      <w:pPr>
        <w:pStyle w:val="Title"/>
        <w:rPr>
          <w:sz w:val="28"/>
          <w:szCs w:val="28"/>
        </w:rPr>
      </w:pPr>
      <w:r>
        <w:rPr>
          <w:sz w:val="28"/>
          <w:szCs w:val="28"/>
        </w:rPr>
        <w:br w:type="page"/>
      </w:r>
      <w:r w:rsidR="00E4797D">
        <w:rPr>
          <w:sz w:val="28"/>
          <w:szCs w:val="28"/>
        </w:rPr>
        <w:lastRenderedPageBreak/>
        <w:t>Loan Terms</w:t>
      </w:r>
    </w:p>
    <w:p w:rsidR="00E4797D" w:rsidRDefault="00E4797D" w:rsidP="00030F0B">
      <w:pPr>
        <w:pStyle w:val="Title"/>
        <w:rPr>
          <w:sz w:val="28"/>
          <w:szCs w:val="28"/>
        </w:rPr>
      </w:pPr>
    </w:p>
    <w:p w:rsidR="00BF06D0" w:rsidRDefault="00BF06D0" w:rsidP="00E4797D">
      <w:pPr>
        <w:pStyle w:val="parthead"/>
        <w:pBdr>
          <w:bottom w:val="none" w:sz="0" w:space="0" w:color="auto"/>
        </w:pBdr>
        <w:tabs>
          <w:tab w:val="clear" w:pos="-1440"/>
          <w:tab w:val="clear" w:pos="-720"/>
          <w:tab w:val="clear" w:pos="-360"/>
          <w:tab w:val="clear" w:pos="0"/>
          <w:tab w:val="clear" w:pos="288"/>
          <w:tab w:val="clear" w:pos="576"/>
          <w:tab w:val="clear" w:pos="864"/>
          <w:tab w:val="clear" w:pos="1152"/>
          <w:tab w:val="clear" w:pos="1440"/>
          <w:tab w:val="clear" w:pos="1800"/>
          <w:tab w:val="clear" w:pos="4680"/>
          <w:tab w:val="clear" w:pos="5040"/>
          <w:tab w:val="clear" w:pos="5760"/>
          <w:tab w:val="clear" w:pos="6480"/>
          <w:tab w:val="clear" w:pos="7200"/>
          <w:tab w:val="clear" w:pos="7920"/>
          <w:tab w:val="clear" w:pos="8640"/>
          <w:tab w:val="clear" w:pos="9360"/>
        </w:tabs>
        <w:spacing w:before="120" w:after="40" w:line="240" w:lineRule="auto"/>
        <w:jc w:val="center"/>
        <w:cnfStyle w:val="100000000000"/>
        <w:rPr>
          <w:rFonts w:ascii="Arial" w:hAnsi="Arial" w:cs="Arial"/>
          <w:bCs/>
          <w:shadow w:val="0"/>
          <w:color w:val="FFFFFF"/>
          <w:szCs w:val="26"/>
        </w:rPr>
        <w:sectPr w:rsidR="00BF06D0" w:rsidSect="00F42EE0">
          <w:footerReference w:type="default" r:id="rId7"/>
          <w:headerReference w:type="first" r:id="rId8"/>
          <w:footerReference w:type="first" r:id="rId9"/>
          <w:pgSz w:w="12240" w:h="15840" w:code="1"/>
          <w:pgMar w:top="1440" w:right="1440" w:bottom="720" w:left="1440" w:header="0" w:footer="720" w:gutter="0"/>
          <w:cols w:space="720"/>
          <w:titlePg/>
          <w:docGrid w:linePitch="360"/>
        </w:sect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1E0"/>
      </w:tblPr>
      <w:tblGrid>
        <w:gridCol w:w="3321"/>
        <w:gridCol w:w="2367"/>
        <w:gridCol w:w="1845"/>
        <w:gridCol w:w="1845"/>
      </w:tblGrid>
      <w:tr w:rsidR="00E4797D" w:rsidRPr="00BE4E23" w:rsidTr="00BE4E23">
        <w:tc>
          <w:tcPr>
            <w:tcW w:w="3321" w:type="dxa"/>
            <w:tcBorders>
              <w:top w:val="single" w:sz="12" w:space="0" w:color="auto"/>
              <w:bottom w:val="single" w:sz="12" w:space="0" w:color="000000"/>
              <w:right w:val="single" w:sz="2" w:space="0" w:color="808080"/>
            </w:tcBorders>
            <w:shd w:val="solid" w:color="71BA40" w:fill="00FF00"/>
          </w:tcPr>
          <w:p w:rsidR="00E4797D" w:rsidRPr="00BE4E23" w:rsidRDefault="00E4797D" w:rsidP="00BE4E23">
            <w:pPr>
              <w:pStyle w:val="parthead"/>
              <w:pBdr>
                <w:bottom w:val="none" w:sz="0" w:space="0" w:color="auto"/>
              </w:pBdr>
              <w:tabs>
                <w:tab w:val="clear" w:pos="-1440"/>
                <w:tab w:val="clear" w:pos="-720"/>
                <w:tab w:val="clear" w:pos="-360"/>
                <w:tab w:val="clear" w:pos="0"/>
                <w:tab w:val="clear" w:pos="288"/>
                <w:tab w:val="clear" w:pos="576"/>
                <w:tab w:val="clear" w:pos="864"/>
                <w:tab w:val="clear" w:pos="1152"/>
                <w:tab w:val="clear" w:pos="1440"/>
                <w:tab w:val="clear" w:pos="1800"/>
                <w:tab w:val="clear" w:pos="4680"/>
                <w:tab w:val="clear" w:pos="5040"/>
                <w:tab w:val="clear" w:pos="5760"/>
                <w:tab w:val="clear" w:pos="6480"/>
                <w:tab w:val="clear" w:pos="7200"/>
                <w:tab w:val="clear" w:pos="7920"/>
                <w:tab w:val="clear" w:pos="8640"/>
                <w:tab w:val="clear" w:pos="9360"/>
              </w:tabs>
              <w:spacing w:before="120" w:after="40" w:line="240" w:lineRule="auto"/>
              <w:jc w:val="center"/>
              <w:rPr>
                <w:rFonts w:ascii="Arial" w:hAnsi="Arial" w:cs="Arial"/>
                <w:b w:val="0"/>
                <w:bCs/>
                <w:shadow w:val="0"/>
                <w:color w:val="FFFFFF"/>
                <w:szCs w:val="26"/>
              </w:rPr>
            </w:pPr>
          </w:p>
        </w:tc>
        <w:tc>
          <w:tcPr>
            <w:tcW w:w="2367" w:type="dxa"/>
            <w:tcBorders>
              <w:top w:val="single" w:sz="12" w:space="0" w:color="auto"/>
              <w:left w:val="single" w:sz="2" w:space="0" w:color="808080"/>
              <w:bottom w:val="single" w:sz="12" w:space="0" w:color="000000"/>
              <w:right w:val="single" w:sz="2" w:space="0" w:color="808080"/>
            </w:tcBorders>
            <w:shd w:val="solid" w:color="71BA40" w:fill="00FF00"/>
          </w:tcPr>
          <w:p w:rsidR="00E4797D" w:rsidRPr="00BE4E23" w:rsidRDefault="00E4797D" w:rsidP="00BE4E23">
            <w:pPr>
              <w:pStyle w:val="parthead"/>
              <w:pBdr>
                <w:bottom w:val="none" w:sz="0" w:space="0" w:color="auto"/>
              </w:pBdr>
              <w:tabs>
                <w:tab w:val="clear" w:pos="-1440"/>
                <w:tab w:val="clear" w:pos="-720"/>
                <w:tab w:val="clear" w:pos="-360"/>
                <w:tab w:val="clear" w:pos="0"/>
                <w:tab w:val="clear" w:pos="288"/>
                <w:tab w:val="clear" w:pos="576"/>
                <w:tab w:val="clear" w:pos="864"/>
                <w:tab w:val="clear" w:pos="1152"/>
                <w:tab w:val="clear" w:pos="1440"/>
                <w:tab w:val="clear" w:pos="1800"/>
                <w:tab w:val="clear" w:pos="4680"/>
                <w:tab w:val="clear" w:pos="5040"/>
                <w:tab w:val="clear" w:pos="5760"/>
                <w:tab w:val="clear" w:pos="6480"/>
                <w:tab w:val="clear" w:pos="7200"/>
                <w:tab w:val="clear" w:pos="7920"/>
                <w:tab w:val="clear" w:pos="8640"/>
                <w:tab w:val="clear" w:pos="9360"/>
              </w:tabs>
              <w:spacing w:before="120" w:after="40" w:line="240" w:lineRule="auto"/>
              <w:jc w:val="center"/>
              <w:rPr>
                <w:rFonts w:ascii="Arial" w:hAnsi="Arial" w:cs="Arial"/>
                <w:b w:val="0"/>
                <w:bCs/>
                <w:shadow w:val="0"/>
                <w:color w:val="FFFFFF"/>
                <w:szCs w:val="26"/>
              </w:rPr>
            </w:pPr>
            <w:r w:rsidRPr="00BE4E23">
              <w:rPr>
                <w:rFonts w:ascii="Arial" w:hAnsi="Arial" w:cs="Arial"/>
                <w:b w:val="0"/>
                <w:bCs/>
                <w:shadow w:val="0"/>
                <w:color w:val="FFFFFF"/>
                <w:szCs w:val="26"/>
              </w:rPr>
              <w:t>Revolving</w:t>
            </w:r>
            <w:r w:rsidR="00BF06D0" w:rsidRPr="00BE4E23">
              <w:rPr>
                <w:rFonts w:ascii="Arial" w:hAnsi="Arial" w:cs="Arial"/>
                <w:b w:val="0"/>
                <w:bCs/>
                <w:shadow w:val="0"/>
                <w:color w:val="FFFFFF"/>
                <w:szCs w:val="26"/>
              </w:rPr>
              <w:br/>
            </w:r>
            <w:r w:rsidRPr="00BE4E23">
              <w:rPr>
                <w:rFonts w:ascii="Arial" w:hAnsi="Arial" w:cs="Arial"/>
                <w:b w:val="0"/>
                <w:bCs/>
                <w:shadow w:val="0"/>
                <w:color w:val="FFFFFF"/>
                <w:szCs w:val="26"/>
              </w:rPr>
              <w:t>Loan Fund</w:t>
            </w:r>
          </w:p>
        </w:tc>
        <w:tc>
          <w:tcPr>
            <w:tcW w:w="1845" w:type="dxa"/>
            <w:tcBorders>
              <w:top w:val="single" w:sz="12" w:space="0" w:color="auto"/>
              <w:left w:val="single" w:sz="2" w:space="0" w:color="808080"/>
              <w:bottom w:val="single" w:sz="12" w:space="0" w:color="000000"/>
              <w:right w:val="single" w:sz="2" w:space="0" w:color="808080"/>
            </w:tcBorders>
            <w:shd w:val="solid" w:color="71BA40" w:fill="00FF00"/>
          </w:tcPr>
          <w:p w:rsidR="00E4797D" w:rsidRPr="00BE4E23" w:rsidRDefault="00E4797D" w:rsidP="00BE4E23">
            <w:pPr>
              <w:pStyle w:val="parthead"/>
              <w:pBdr>
                <w:bottom w:val="none" w:sz="0" w:space="0" w:color="auto"/>
              </w:pBdr>
              <w:tabs>
                <w:tab w:val="clear" w:pos="-1440"/>
                <w:tab w:val="clear" w:pos="-720"/>
                <w:tab w:val="clear" w:pos="-360"/>
                <w:tab w:val="clear" w:pos="0"/>
                <w:tab w:val="clear" w:pos="288"/>
                <w:tab w:val="clear" w:pos="576"/>
                <w:tab w:val="clear" w:pos="864"/>
                <w:tab w:val="clear" w:pos="1152"/>
                <w:tab w:val="clear" w:pos="1440"/>
                <w:tab w:val="clear" w:pos="1800"/>
                <w:tab w:val="clear" w:pos="4680"/>
                <w:tab w:val="clear" w:pos="5040"/>
                <w:tab w:val="clear" w:pos="5760"/>
                <w:tab w:val="clear" w:pos="6480"/>
                <w:tab w:val="clear" w:pos="7200"/>
                <w:tab w:val="clear" w:pos="7920"/>
                <w:tab w:val="clear" w:pos="8640"/>
                <w:tab w:val="clear" w:pos="9360"/>
              </w:tabs>
              <w:spacing w:before="120" w:after="40" w:line="240" w:lineRule="auto"/>
              <w:jc w:val="center"/>
              <w:rPr>
                <w:rFonts w:ascii="Arial" w:hAnsi="Arial" w:cs="Arial"/>
                <w:b w:val="0"/>
                <w:bCs/>
                <w:shadow w:val="0"/>
                <w:color w:val="FFFFFF"/>
                <w:szCs w:val="26"/>
              </w:rPr>
            </w:pPr>
            <w:r w:rsidRPr="00BE4E23">
              <w:rPr>
                <w:rFonts w:ascii="Arial" w:hAnsi="Arial" w:cs="Arial"/>
                <w:b w:val="0"/>
                <w:bCs/>
                <w:shadow w:val="0"/>
                <w:color w:val="FFFFFF"/>
                <w:szCs w:val="26"/>
              </w:rPr>
              <w:t>LB840 Tax</w:t>
            </w:r>
            <w:r w:rsidR="00AC5EAA" w:rsidRPr="00BE4E23">
              <w:rPr>
                <w:rFonts w:ascii="Arial" w:hAnsi="Arial" w:cs="Arial"/>
                <w:b w:val="0"/>
                <w:bCs/>
                <w:shadow w:val="0"/>
                <w:color w:val="FFFFFF"/>
                <w:szCs w:val="26"/>
              </w:rPr>
              <w:br/>
            </w:r>
            <w:r w:rsidRPr="00BE4E23">
              <w:rPr>
                <w:rFonts w:ascii="Arial" w:hAnsi="Arial" w:cs="Arial"/>
                <w:b w:val="0"/>
                <w:bCs/>
                <w:shadow w:val="0"/>
                <w:color w:val="FFFFFF"/>
                <w:szCs w:val="26"/>
              </w:rPr>
              <w:t>funds</w:t>
            </w:r>
          </w:p>
        </w:tc>
        <w:tc>
          <w:tcPr>
            <w:tcW w:w="1845" w:type="dxa"/>
            <w:tcBorders>
              <w:top w:val="single" w:sz="12" w:space="0" w:color="auto"/>
              <w:left w:val="single" w:sz="2" w:space="0" w:color="808080"/>
              <w:bottom w:val="single" w:sz="12" w:space="0" w:color="000000"/>
            </w:tcBorders>
            <w:shd w:val="solid" w:color="71BA40" w:fill="00FF00"/>
          </w:tcPr>
          <w:p w:rsidR="00E4797D" w:rsidRPr="00BE4E23" w:rsidRDefault="00E4797D" w:rsidP="00BE4E23">
            <w:pPr>
              <w:pStyle w:val="parthead"/>
              <w:pBdr>
                <w:bottom w:val="none" w:sz="0" w:space="0" w:color="auto"/>
              </w:pBdr>
              <w:tabs>
                <w:tab w:val="clear" w:pos="-1440"/>
                <w:tab w:val="clear" w:pos="-720"/>
                <w:tab w:val="clear" w:pos="-360"/>
                <w:tab w:val="clear" w:pos="0"/>
                <w:tab w:val="clear" w:pos="288"/>
                <w:tab w:val="clear" w:pos="576"/>
                <w:tab w:val="clear" w:pos="864"/>
                <w:tab w:val="clear" w:pos="1152"/>
                <w:tab w:val="clear" w:pos="1440"/>
                <w:tab w:val="clear" w:pos="1800"/>
                <w:tab w:val="clear" w:pos="4680"/>
                <w:tab w:val="clear" w:pos="5040"/>
                <w:tab w:val="clear" w:pos="5760"/>
                <w:tab w:val="clear" w:pos="6480"/>
                <w:tab w:val="clear" w:pos="7200"/>
                <w:tab w:val="clear" w:pos="7920"/>
                <w:tab w:val="clear" w:pos="8640"/>
                <w:tab w:val="clear" w:pos="9360"/>
              </w:tabs>
              <w:spacing w:before="120" w:after="40" w:line="240" w:lineRule="auto"/>
              <w:jc w:val="center"/>
              <w:rPr>
                <w:rFonts w:ascii="Arial" w:hAnsi="Arial" w:cs="Arial"/>
                <w:b w:val="0"/>
                <w:bCs/>
                <w:shadow w:val="0"/>
                <w:color w:val="FFFFFF"/>
                <w:szCs w:val="26"/>
              </w:rPr>
            </w:pPr>
            <w:r w:rsidRPr="00BE4E23">
              <w:rPr>
                <w:rFonts w:ascii="Arial" w:hAnsi="Arial" w:cs="Arial"/>
                <w:b w:val="0"/>
                <w:bCs/>
                <w:shadow w:val="0"/>
                <w:color w:val="FFFFFF"/>
                <w:szCs w:val="26"/>
              </w:rPr>
              <w:t>AEDC</w:t>
            </w:r>
            <w:r w:rsidR="00AC5EAA" w:rsidRPr="00BE4E23">
              <w:rPr>
                <w:rFonts w:ascii="Arial" w:hAnsi="Arial" w:cs="Arial"/>
                <w:b w:val="0"/>
                <w:bCs/>
                <w:shadow w:val="0"/>
                <w:color w:val="FFFFFF"/>
                <w:szCs w:val="26"/>
              </w:rPr>
              <w:br/>
            </w:r>
            <w:r w:rsidRPr="00BE4E23">
              <w:rPr>
                <w:rFonts w:ascii="Arial" w:hAnsi="Arial" w:cs="Arial"/>
                <w:b w:val="0"/>
                <w:bCs/>
                <w:shadow w:val="0"/>
                <w:color w:val="FFFFFF"/>
                <w:szCs w:val="26"/>
              </w:rPr>
              <w:t>Funds</w:t>
            </w:r>
          </w:p>
        </w:tc>
      </w:tr>
      <w:tr w:rsidR="00E4797D" w:rsidRPr="00BE4E23" w:rsidTr="00BE4E23">
        <w:tc>
          <w:tcPr>
            <w:tcW w:w="3321" w:type="dxa"/>
            <w:tcBorders>
              <w:top w:val="single" w:sz="12" w:space="0" w:color="000000"/>
              <w:bottom w:val="single" w:sz="2" w:space="0" w:color="808080"/>
              <w:right w:val="single" w:sz="2" w:space="0" w:color="808080"/>
            </w:tcBorders>
            <w:shd w:val="clear" w:color="auto" w:fill="auto"/>
          </w:tcPr>
          <w:p w:rsidR="00E4797D" w:rsidRPr="00BE4E23" w:rsidRDefault="00E4797D" w:rsidP="00BE4E23">
            <w:pPr>
              <w:spacing w:before="160" w:after="80"/>
              <w:rPr>
                <w:rFonts w:ascii="Arial" w:hAnsi="Arial" w:cs="Arial"/>
                <w:sz w:val="20"/>
                <w:szCs w:val="20"/>
              </w:rPr>
            </w:pPr>
            <w:r w:rsidRPr="00BE4E23">
              <w:rPr>
                <w:rFonts w:ascii="Arial" w:hAnsi="Arial" w:cs="Arial"/>
                <w:sz w:val="20"/>
                <w:szCs w:val="20"/>
              </w:rPr>
              <w:t>Maximum Loan</w:t>
            </w:r>
            <w:r w:rsidR="00B8489F" w:rsidRPr="00BE4E23">
              <w:rPr>
                <w:rFonts w:ascii="Arial" w:hAnsi="Arial" w:cs="Arial"/>
                <w:sz w:val="20"/>
                <w:szCs w:val="20"/>
              </w:rPr>
              <w:t xml:space="preserve"> Amount</w:t>
            </w:r>
          </w:p>
        </w:tc>
        <w:tc>
          <w:tcPr>
            <w:tcW w:w="2367" w:type="dxa"/>
            <w:tcBorders>
              <w:top w:val="single" w:sz="12" w:space="0" w:color="000000"/>
              <w:left w:val="single" w:sz="2" w:space="0" w:color="808080"/>
              <w:bottom w:val="single" w:sz="2" w:space="0" w:color="808080"/>
              <w:right w:val="single" w:sz="2" w:space="0" w:color="808080"/>
            </w:tcBorders>
            <w:shd w:val="clear" w:color="auto" w:fill="auto"/>
          </w:tcPr>
          <w:p w:rsidR="00E4797D" w:rsidRPr="00BE4E23" w:rsidRDefault="00E4797D" w:rsidP="00BE4E23">
            <w:pPr>
              <w:spacing w:before="160" w:after="80"/>
              <w:rPr>
                <w:rFonts w:ascii="Arial" w:hAnsi="Arial" w:cs="Arial"/>
                <w:sz w:val="20"/>
                <w:szCs w:val="20"/>
              </w:rPr>
            </w:pPr>
            <w:bookmarkStart w:id="0" w:name="OLE_LINK1"/>
            <w:bookmarkStart w:id="1" w:name="OLE_LINK2"/>
            <w:r w:rsidRPr="00BE4E23">
              <w:rPr>
                <w:rFonts w:ascii="Arial" w:hAnsi="Arial" w:cs="Arial"/>
                <w:sz w:val="20"/>
                <w:szCs w:val="20"/>
              </w:rPr>
              <w:t>Lesser of:</w:t>
            </w:r>
          </w:p>
          <w:p w:rsidR="00E4797D" w:rsidRPr="00BE4E23" w:rsidRDefault="00E4797D" w:rsidP="00BE4E23">
            <w:pPr>
              <w:spacing w:before="160" w:after="80"/>
              <w:ind w:left="279" w:hanging="180"/>
              <w:rPr>
                <w:rFonts w:ascii="Arial" w:hAnsi="Arial" w:cs="Arial"/>
                <w:sz w:val="20"/>
                <w:szCs w:val="20"/>
              </w:rPr>
            </w:pPr>
            <w:r w:rsidRPr="00BE4E23">
              <w:rPr>
                <w:rFonts w:ascii="Arial" w:hAnsi="Arial" w:cs="Arial"/>
                <w:sz w:val="20"/>
                <w:szCs w:val="20"/>
              </w:rPr>
              <w:t>-</w:t>
            </w:r>
            <w:r w:rsidRPr="00BE4E23">
              <w:rPr>
                <w:rFonts w:ascii="Arial" w:hAnsi="Arial" w:cs="Arial"/>
                <w:sz w:val="20"/>
                <w:szCs w:val="20"/>
              </w:rPr>
              <w:tab/>
              <w:t>50% of total project costs</w:t>
            </w:r>
          </w:p>
          <w:p w:rsidR="00E4797D" w:rsidRPr="00BE4E23" w:rsidRDefault="00E4797D" w:rsidP="00BE4E23">
            <w:pPr>
              <w:spacing w:before="160" w:after="80"/>
              <w:ind w:left="279" w:hanging="180"/>
              <w:rPr>
                <w:rFonts w:ascii="Arial" w:hAnsi="Arial" w:cs="Arial"/>
                <w:sz w:val="20"/>
                <w:szCs w:val="20"/>
              </w:rPr>
            </w:pPr>
            <w:r w:rsidRPr="00BE4E23">
              <w:rPr>
                <w:rFonts w:ascii="Arial" w:hAnsi="Arial" w:cs="Arial"/>
                <w:sz w:val="20"/>
                <w:szCs w:val="20"/>
              </w:rPr>
              <w:t>-</w:t>
            </w:r>
            <w:r w:rsidRPr="00BE4E23">
              <w:rPr>
                <w:rFonts w:ascii="Arial" w:hAnsi="Arial" w:cs="Arial"/>
                <w:sz w:val="20"/>
                <w:szCs w:val="20"/>
              </w:rPr>
              <w:tab/>
              <w:t>$20,000 per full-time position created</w:t>
            </w:r>
            <w:bookmarkEnd w:id="0"/>
            <w:bookmarkEnd w:id="1"/>
          </w:p>
        </w:tc>
        <w:tc>
          <w:tcPr>
            <w:tcW w:w="1845" w:type="dxa"/>
            <w:tcBorders>
              <w:top w:val="single" w:sz="12" w:space="0" w:color="000000"/>
              <w:left w:val="single" w:sz="2" w:space="0" w:color="808080"/>
              <w:bottom w:val="single" w:sz="2" w:space="0" w:color="808080"/>
              <w:right w:val="single" w:sz="2" w:space="0" w:color="808080"/>
            </w:tcBorders>
            <w:shd w:val="clear" w:color="auto" w:fill="auto"/>
          </w:tcPr>
          <w:p w:rsidR="00E4797D" w:rsidRPr="00BE4E23" w:rsidRDefault="00E4797D" w:rsidP="00BE4E23">
            <w:pPr>
              <w:spacing w:before="160" w:after="80"/>
              <w:rPr>
                <w:rFonts w:ascii="Arial" w:hAnsi="Arial" w:cs="Arial"/>
                <w:sz w:val="20"/>
                <w:szCs w:val="20"/>
              </w:rPr>
            </w:pPr>
            <w:r w:rsidRPr="00BE4E23">
              <w:rPr>
                <w:rFonts w:ascii="Arial" w:hAnsi="Arial" w:cs="Arial"/>
                <w:sz w:val="20"/>
                <w:szCs w:val="20"/>
              </w:rPr>
              <w:t>50% of total project costs</w:t>
            </w:r>
          </w:p>
        </w:tc>
        <w:tc>
          <w:tcPr>
            <w:tcW w:w="1845" w:type="dxa"/>
            <w:tcBorders>
              <w:top w:val="single" w:sz="12" w:space="0" w:color="000000"/>
              <w:left w:val="single" w:sz="2" w:space="0" w:color="808080"/>
              <w:bottom w:val="single" w:sz="2" w:space="0" w:color="808080"/>
            </w:tcBorders>
            <w:shd w:val="clear" w:color="auto" w:fill="auto"/>
          </w:tcPr>
          <w:p w:rsidR="00E4797D" w:rsidRPr="00BE4E23" w:rsidRDefault="00C604E8" w:rsidP="00BE4E23">
            <w:pPr>
              <w:spacing w:before="160" w:after="80"/>
              <w:rPr>
                <w:rFonts w:ascii="Arial" w:hAnsi="Arial" w:cs="Arial"/>
                <w:sz w:val="20"/>
                <w:szCs w:val="20"/>
              </w:rPr>
            </w:pPr>
            <w:r w:rsidRPr="00BE4E23">
              <w:rPr>
                <w:rFonts w:ascii="Arial" w:hAnsi="Arial" w:cs="Arial"/>
                <w:sz w:val="20"/>
                <w:szCs w:val="20"/>
              </w:rPr>
              <w:t>Determined on a case-by-case basis</w:t>
            </w:r>
          </w:p>
        </w:tc>
      </w:tr>
      <w:tr w:rsidR="00C604E8" w:rsidRPr="00BE4E23" w:rsidTr="00BE4E23">
        <w:tc>
          <w:tcPr>
            <w:tcW w:w="3321" w:type="dxa"/>
            <w:tcBorders>
              <w:top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Maximum Job Training</w:t>
            </w:r>
          </w:p>
        </w:tc>
        <w:tc>
          <w:tcPr>
            <w:tcW w:w="2367" w:type="dxa"/>
            <w:tcBorders>
              <w:top w:val="single" w:sz="2" w:space="0" w:color="808080"/>
              <w:left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Lesser of:</w:t>
            </w:r>
          </w:p>
          <w:p w:rsidR="00C604E8" w:rsidRPr="00BE4E23" w:rsidRDefault="00C604E8" w:rsidP="00BE4E23">
            <w:pPr>
              <w:spacing w:before="160" w:after="80"/>
              <w:ind w:left="279" w:hanging="180"/>
              <w:rPr>
                <w:rFonts w:ascii="Arial" w:hAnsi="Arial" w:cs="Arial"/>
                <w:sz w:val="20"/>
                <w:szCs w:val="20"/>
              </w:rPr>
            </w:pPr>
            <w:r w:rsidRPr="00BE4E23">
              <w:rPr>
                <w:rFonts w:ascii="Arial" w:hAnsi="Arial" w:cs="Arial"/>
                <w:sz w:val="20"/>
                <w:szCs w:val="20"/>
              </w:rPr>
              <w:t>-</w:t>
            </w:r>
            <w:r w:rsidRPr="00BE4E23">
              <w:rPr>
                <w:rFonts w:ascii="Arial" w:hAnsi="Arial" w:cs="Arial"/>
                <w:sz w:val="20"/>
                <w:szCs w:val="20"/>
              </w:rPr>
              <w:tab/>
              <w:t>$1,000</w:t>
            </w:r>
          </w:p>
          <w:p w:rsidR="00C604E8" w:rsidRPr="00BE4E23" w:rsidRDefault="00C604E8" w:rsidP="00BE4E23">
            <w:pPr>
              <w:spacing w:before="160" w:after="80"/>
              <w:ind w:left="279" w:hanging="180"/>
              <w:rPr>
                <w:rFonts w:ascii="Arial" w:hAnsi="Arial" w:cs="Arial"/>
                <w:sz w:val="20"/>
                <w:szCs w:val="20"/>
              </w:rPr>
            </w:pPr>
            <w:r w:rsidRPr="00BE4E23">
              <w:rPr>
                <w:rFonts w:ascii="Arial" w:hAnsi="Arial" w:cs="Arial"/>
                <w:sz w:val="20"/>
                <w:szCs w:val="20"/>
              </w:rPr>
              <w:t>-</w:t>
            </w:r>
            <w:r w:rsidRPr="00BE4E23">
              <w:rPr>
                <w:rFonts w:ascii="Arial" w:hAnsi="Arial" w:cs="Arial"/>
                <w:sz w:val="20"/>
                <w:szCs w:val="20"/>
              </w:rPr>
              <w:tab/>
              <w:t>20% of total project costs</w:t>
            </w:r>
          </w:p>
        </w:tc>
        <w:tc>
          <w:tcPr>
            <w:tcW w:w="1845" w:type="dxa"/>
            <w:tcBorders>
              <w:top w:val="single" w:sz="2" w:space="0" w:color="808080"/>
              <w:left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Determined on a case-by-case basis</w:t>
            </w:r>
          </w:p>
        </w:tc>
        <w:tc>
          <w:tcPr>
            <w:tcW w:w="1845" w:type="dxa"/>
            <w:tcBorders>
              <w:top w:val="single" w:sz="2" w:space="0" w:color="808080"/>
              <w:left w:val="single" w:sz="2" w:space="0" w:color="808080"/>
              <w:bottom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Determined on a case-by-case basis</w:t>
            </w:r>
          </w:p>
        </w:tc>
      </w:tr>
      <w:tr w:rsidR="00C604E8" w:rsidRPr="00BE4E23" w:rsidTr="00BE4E23">
        <w:tc>
          <w:tcPr>
            <w:tcW w:w="3321" w:type="dxa"/>
            <w:tcBorders>
              <w:top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Owner Equity Required</w:t>
            </w:r>
          </w:p>
        </w:tc>
        <w:tc>
          <w:tcPr>
            <w:tcW w:w="2367" w:type="dxa"/>
            <w:tcBorders>
              <w:top w:val="single" w:sz="2" w:space="0" w:color="808080"/>
              <w:left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30% for startup businesses</w:t>
            </w:r>
          </w:p>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10% for existing businesses</w:t>
            </w:r>
          </w:p>
        </w:tc>
        <w:tc>
          <w:tcPr>
            <w:tcW w:w="1845" w:type="dxa"/>
            <w:tcBorders>
              <w:top w:val="single" w:sz="2" w:space="0" w:color="808080"/>
              <w:left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10% for any applicant</w:t>
            </w:r>
          </w:p>
        </w:tc>
        <w:tc>
          <w:tcPr>
            <w:tcW w:w="1845" w:type="dxa"/>
            <w:tcBorders>
              <w:top w:val="single" w:sz="2" w:space="0" w:color="808080"/>
              <w:left w:val="single" w:sz="2" w:space="0" w:color="808080"/>
              <w:bottom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Determined on a case-by-case basis</w:t>
            </w:r>
          </w:p>
        </w:tc>
      </w:tr>
      <w:tr w:rsidR="00C604E8" w:rsidRPr="00BE4E23" w:rsidTr="00BE4E23">
        <w:tc>
          <w:tcPr>
            <w:tcW w:w="3321" w:type="dxa"/>
            <w:tcBorders>
              <w:top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Maximum Loan Terms</w:t>
            </w:r>
          </w:p>
        </w:tc>
        <w:tc>
          <w:tcPr>
            <w:tcW w:w="2367" w:type="dxa"/>
            <w:tcBorders>
              <w:top w:val="single" w:sz="2" w:space="0" w:color="808080"/>
              <w:left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1</w:t>
            </w:r>
            <w:r w:rsidR="00D27885" w:rsidRPr="00BE4E23">
              <w:rPr>
                <w:rFonts w:ascii="Arial" w:hAnsi="Arial" w:cs="Arial"/>
                <w:sz w:val="20"/>
                <w:szCs w:val="20"/>
              </w:rPr>
              <w:t>5</w:t>
            </w:r>
            <w:r w:rsidRPr="00BE4E23">
              <w:rPr>
                <w:rFonts w:ascii="Arial" w:hAnsi="Arial" w:cs="Arial"/>
                <w:sz w:val="20"/>
                <w:szCs w:val="20"/>
              </w:rPr>
              <w:t xml:space="preserve"> years for fixed assets</w:t>
            </w:r>
          </w:p>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5 years for working capital</w:t>
            </w:r>
          </w:p>
        </w:tc>
        <w:tc>
          <w:tcPr>
            <w:tcW w:w="1845" w:type="dxa"/>
            <w:tcBorders>
              <w:top w:val="single" w:sz="2" w:space="0" w:color="808080"/>
              <w:left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10 years for fixed assets</w:t>
            </w:r>
          </w:p>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5 years for other asset category</w:t>
            </w:r>
          </w:p>
        </w:tc>
        <w:tc>
          <w:tcPr>
            <w:tcW w:w="1845" w:type="dxa"/>
            <w:tcBorders>
              <w:top w:val="single" w:sz="2" w:space="0" w:color="808080"/>
              <w:left w:val="single" w:sz="2" w:space="0" w:color="808080"/>
              <w:bottom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Determined on a case-by-case basis</w:t>
            </w:r>
          </w:p>
        </w:tc>
      </w:tr>
      <w:tr w:rsidR="00C604E8" w:rsidRPr="00BE4E23" w:rsidTr="00BE4E23">
        <w:tc>
          <w:tcPr>
            <w:tcW w:w="3321" w:type="dxa"/>
            <w:tcBorders>
              <w:top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Loan Interest Rates</w:t>
            </w:r>
          </w:p>
        </w:tc>
        <w:tc>
          <w:tcPr>
            <w:tcW w:w="2367" w:type="dxa"/>
            <w:tcBorders>
              <w:top w:val="single" w:sz="2" w:space="0" w:color="808080"/>
              <w:left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Lesser of:</w:t>
            </w:r>
          </w:p>
          <w:p w:rsidR="00C604E8" w:rsidRPr="00BE4E23" w:rsidRDefault="00C604E8" w:rsidP="00BE4E23">
            <w:pPr>
              <w:spacing w:before="160" w:after="80"/>
              <w:ind w:left="279" w:hanging="180"/>
              <w:rPr>
                <w:rFonts w:ascii="Arial" w:hAnsi="Arial" w:cs="Arial"/>
                <w:sz w:val="20"/>
                <w:szCs w:val="20"/>
              </w:rPr>
            </w:pPr>
            <w:r w:rsidRPr="00BE4E23">
              <w:rPr>
                <w:rFonts w:ascii="Arial" w:hAnsi="Arial" w:cs="Arial"/>
                <w:sz w:val="20"/>
                <w:szCs w:val="20"/>
              </w:rPr>
              <w:t>-</w:t>
            </w:r>
            <w:r w:rsidRPr="00BE4E23">
              <w:rPr>
                <w:rFonts w:ascii="Arial" w:hAnsi="Arial" w:cs="Arial"/>
                <w:sz w:val="20"/>
                <w:szCs w:val="20"/>
              </w:rPr>
              <w:tab/>
              <w:t>Wall Street Journal Prime</w:t>
            </w:r>
          </w:p>
          <w:p w:rsidR="00C604E8" w:rsidRPr="00BE4E23" w:rsidRDefault="00C604E8" w:rsidP="00BE4E23">
            <w:pPr>
              <w:spacing w:before="160" w:after="80"/>
              <w:ind w:left="279" w:hanging="180"/>
              <w:rPr>
                <w:rFonts w:ascii="Arial" w:hAnsi="Arial" w:cs="Arial"/>
                <w:sz w:val="20"/>
                <w:szCs w:val="20"/>
              </w:rPr>
            </w:pPr>
            <w:r w:rsidRPr="00BE4E23">
              <w:rPr>
                <w:rFonts w:ascii="Arial" w:hAnsi="Arial" w:cs="Arial"/>
                <w:sz w:val="20"/>
                <w:szCs w:val="20"/>
              </w:rPr>
              <w:t>-</w:t>
            </w:r>
            <w:r w:rsidRPr="00BE4E23">
              <w:rPr>
                <w:rFonts w:ascii="Arial" w:hAnsi="Arial" w:cs="Arial"/>
                <w:sz w:val="20"/>
                <w:szCs w:val="20"/>
              </w:rPr>
              <w:tab/>
              <w:t>50% of the rate for the project’s primary lender</w:t>
            </w:r>
          </w:p>
        </w:tc>
        <w:tc>
          <w:tcPr>
            <w:tcW w:w="1845" w:type="dxa"/>
            <w:tcBorders>
              <w:top w:val="single" w:sz="2" w:space="0" w:color="808080"/>
              <w:left w:val="single" w:sz="2" w:space="0" w:color="808080"/>
              <w:bottom w:val="single" w:sz="2" w:space="0" w:color="80808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50% of Wall Street Journal Prime, but no less than 4% before qualifying credits</w:t>
            </w:r>
            <w:r w:rsidR="00630FDF" w:rsidRPr="00BE4E23">
              <w:rPr>
                <w:rFonts w:ascii="Arial" w:hAnsi="Arial" w:cs="Arial"/>
                <w:sz w:val="20"/>
                <w:szCs w:val="20"/>
              </w:rPr>
              <w:t>*</w:t>
            </w:r>
          </w:p>
        </w:tc>
        <w:tc>
          <w:tcPr>
            <w:tcW w:w="1845" w:type="dxa"/>
            <w:tcBorders>
              <w:top w:val="single" w:sz="2" w:space="0" w:color="808080"/>
              <w:left w:val="single" w:sz="2" w:space="0" w:color="808080"/>
              <w:bottom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Determined on a case-by-case basis</w:t>
            </w:r>
          </w:p>
        </w:tc>
      </w:tr>
      <w:tr w:rsidR="00C604E8" w:rsidRPr="00BE4E23" w:rsidTr="00BE4E23">
        <w:tc>
          <w:tcPr>
            <w:tcW w:w="3321" w:type="dxa"/>
            <w:tcBorders>
              <w:top w:val="single" w:sz="2" w:space="0" w:color="808080"/>
              <w:bottom w:val="single" w:sz="12" w:space="0" w:color="00000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Security</w:t>
            </w:r>
          </w:p>
        </w:tc>
        <w:tc>
          <w:tcPr>
            <w:tcW w:w="2367" w:type="dxa"/>
            <w:tcBorders>
              <w:top w:val="single" w:sz="2" w:space="0" w:color="808080"/>
              <w:left w:val="single" w:sz="2" w:space="0" w:color="808080"/>
              <w:bottom w:val="single" w:sz="12" w:space="0" w:color="00000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May include, but is not limited to, real and personal property and supported by personal and/or corporate guarantees</w:t>
            </w:r>
          </w:p>
        </w:tc>
        <w:tc>
          <w:tcPr>
            <w:tcW w:w="1845" w:type="dxa"/>
            <w:tcBorders>
              <w:top w:val="single" w:sz="2" w:space="0" w:color="808080"/>
              <w:left w:val="single" w:sz="2" w:space="0" w:color="808080"/>
              <w:bottom w:val="single" w:sz="12" w:space="0" w:color="000000"/>
              <w:right w:val="single" w:sz="2" w:space="0" w:color="80808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May include, but is not limited to, promissory notes, mortgages, or deeds of trust, personal and/or corporate guarantees</w:t>
            </w:r>
          </w:p>
        </w:tc>
        <w:tc>
          <w:tcPr>
            <w:tcW w:w="1845" w:type="dxa"/>
            <w:tcBorders>
              <w:top w:val="single" w:sz="2" w:space="0" w:color="808080"/>
              <w:left w:val="single" w:sz="2" w:space="0" w:color="808080"/>
              <w:bottom w:val="single" w:sz="12" w:space="0" w:color="000000"/>
            </w:tcBorders>
            <w:shd w:val="clear" w:color="auto" w:fill="auto"/>
          </w:tcPr>
          <w:p w:rsidR="00C604E8" w:rsidRPr="00BE4E23" w:rsidRDefault="00C604E8" w:rsidP="00BE4E23">
            <w:pPr>
              <w:spacing w:before="160" w:after="80"/>
              <w:rPr>
                <w:rFonts w:ascii="Arial" w:hAnsi="Arial" w:cs="Arial"/>
                <w:sz w:val="20"/>
                <w:szCs w:val="20"/>
              </w:rPr>
            </w:pPr>
            <w:r w:rsidRPr="00BE4E23">
              <w:rPr>
                <w:rFonts w:ascii="Arial" w:hAnsi="Arial" w:cs="Arial"/>
                <w:sz w:val="20"/>
                <w:szCs w:val="20"/>
              </w:rPr>
              <w:t xml:space="preserve">Determined on a case-by-case basis </w:t>
            </w:r>
          </w:p>
        </w:tc>
      </w:tr>
    </w:tbl>
    <w:p w:rsidR="00BF06D0" w:rsidRDefault="00BF06D0" w:rsidP="00E4797D">
      <w:pPr>
        <w:pStyle w:val="Title"/>
        <w:jc w:val="left"/>
        <w:rPr>
          <w:sz w:val="28"/>
          <w:szCs w:val="28"/>
        </w:rPr>
        <w:sectPr w:rsidR="00BF06D0" w:rsidSect="00BF06D0">
          <w:type w:val="continuous"/>
          <w:pgSz w:w="12240" w:h="15840" w:code="1"/>
          <w:pgMar w:top="1440" w:right="1440" w:bottom="720" w:left="1440" w:header="0" w:footer="720" w:gutter="0"/>
          <w:cols w:space="720"/>
          <w:titlePg/>
          <w:docGrid w:linePitch="360"/>
        </w:sectPr>
      </w:pPr>
    </w:p>
    <w:p w:rsidR="00C604E8" w:rsidRDefault="00C604E8" w:rsidP="00E4797D">
      <w:pPr>
        <w:pStyle w:val="Title"/>
        <w:jc w:val="left"/>
        <w:rPr>
          <w:sz w:val="28"/>
          <w:szCs w:val="28"/>
        </w:rPr>
      </w:pPr>
    </w:p>
    <w:p w:rsidR="00630FDF" w:rsidRPr="00156531" w:rsidRDefault="00156531" w:rsidP="00AC5EAA">
      <w:pPr>
        <w:pStyle w:val="BodyText"/>
        <w:ind w:left="180" w:hanging="180"/>
        <w:rPr>
          <w:sz w:val="20"/>
          <w:szCs w:val="20"/>
        </w:rPr>
      </w:pPr>
      <w:r w:rsidRPr="00156531">
        <w:rPr>
          <w:i/>
          <w:sz w:val="20"/>
          <w:szCs w:val="20"/>
        </w:rPr>
        <w:t>*</w:t>
      </w:r>
      <w:r>
        <w:rPr>
          <w:i/>
          <w:sz w:val="20"/>
          <w:szCs w:val="20"/>
        </w:rPr>
        <w:tab/>
      </w:r>
      <w:r w:rsidR="00630FDF" w:rsidRPr="00156531">
        <w:rPr>
          <w:i/>
          <w:sz w:val="20"/>
          <w:szCs w:val="20"/>
        </w:rPr>
        <w:t>Qualifying Credits</w:t>
      </w:r>
      <w:r w:rsidR="00630FDF" w:rsidRPr="00156531">
        <w:rPr>
          <w:sz w:val="20"/>
          <w:szCs w:val="20"/>
        </w:rPr>
        <w:t xml:space="preserve">—For every job created, you’ll lower your interest rate by a half percent (.5%), with 3% being the lowest possible interest rate attainable. </w:t>
      </w:r>
    </w:p>
    <w:p w:rsidR="00630FDF" w:rsidRDefault="00630FDF" w:rsidP="00C604E8">
      <w:pPr>
        <w:pStyle w:val="BodyText"/>
      </w:pPr>
    </w:p>
    <w:p w:rsidR="00C604E8" w:rsidRDefault="004150D5" w:rsidP="00630FDF">
      <w:pPr>
        <w:pStyle w:val="Heading3"/>
      </w:pPr>
      <w:r>
        <w:lastRenderedPageBreak/>
        <w:t>Requirements</w:t>
      </w:r>
    </w:p>
    <w:p w:rsidR="004150D5" w:rsidRDefault="004150D5" w:rsidP="00156531">
      <w:r>
        <w:t>You are required to provide a credit report</w:t>
      </w:r>
      <w:r w:rsidR="002A752B">
        <w:t>/score</w:t>
      </w:r>
      <w:r>
        <w:t xml:space="preserve"> with your loan application. Some sources that provide credit reports are your bank (some banks will provide one free credit report per year), possibly your credit card company, and online sources such as AnnualCreditReport.com. At AnnualCreditReport.com, you can request a free credit report from one of the three large credit reporting companies: Equifax, TransUnion, or Experian.</w:t>
      </w:r>
      <w:r w:rsidR="002A752B">
        <w:t xml:space="preserve"> They may charge a small fee to access your credit score.</w:t>
      </w:r>
    </w:p>
    <w:p w:rsidR="004150D5" w:rsidRDefault="004150D5" w:rsidP="00156531"/>
    <w:p w:rsidR="00C604E8" w:rsidRDefault="00C604E8" w:rsidP="00156531">
      <w:r w:rsidRPr="00156531">
        <w:t>Loan recipients will provide financial statements to the AEDC on an annual basis for the life of the loan.</w:t>
      </w:r>
    </w:p>
    <w:p w:rsidR="00156531" w:rsidRPr="00156531" w:rsidRDefault="00156531" w:rsidP="00156531"/>
    <w:p w:rsidR="00630FDF" w:rsidRDefault="00C604E8" w:rsidP="00156531">
      <w:r w:rsidRPr="00156531">
        <w:t>A review of records relating to</w:t>
      </w:r>
      <w:r w:rsidR="00630FDF" w:rsidRPr="00156531">
        <w:t xml:space="preserve"> the performance based criteria</w:t>
      </w:r>
      <w:r w:rsidRPr="00156531">
        <w:t xml:space="preserve"> outlined in the loan agreement will be subject to inspection by the AEDC on an annual basis.</w:t>
      </w:r>
    </w:p>
    <w:p w:rsidR="004150D5" w:rsidRDefault="004150D5" w:rsidP="00156531"/>
    <w:p w:rsidR="004150D5" w:rsidRDefault="004150D5" w:rsidP="004150D5">
      <w:pPr>
        <w:pStyle w:val="Heading3"/>
      </w:pPr>
      <w:r>
        <w:t>Fees</w:t>
      </w:r>
    </w:p>
    <w:p w:rsidR="004150D5" w:rsidRDefault="004150D5" w:rsidP="004150D5">
      <w:r>
        <w:t xml:space="preserve">There is a loan application fee, which is to be paid before the loan committee will review your application. </w:t>
      </w:r>
      <w:r w:rsidR="00C314BD">
        <w:t>The amount of the loan application fee will be $</w:t>
      </w:r>
      <w:r w:rsidR="007E7F22">
        <w:t xml:space="preserve">65. </w:t>
      </w:r>
      <w:r w:rsidR="00C314BD">
        <w:t xml:space="preserve"> </w:t>
      </w:r>
      <w:r>
        <w:t>This is a nonrefundable fee and will not be returned no matter what the outcome of your application may be. There may also be a loan servicing fee.</w:t>
      </w:r>
    </w:p>
    <w:p w:rsidR="004150D5" w:rsidRPr="00156531" w:rsidRDefault="004150D5" w:rsidP="00156531"/>
    <w:p w:rsidR="00030F0B" w:rsidRPr="00630FDF" w:rsidRDefault="00630FDF" w:rsidP="00630FDF">
      <w:pPr>
        <w:pStyle w:val="BodyText"/>
        <w:jc w:val="center"/>
        <w:rPr>
          <w:b/>
          <w:sz w:val="28"/>
          <w:szCs w:val="28"/>
        </w:rPr>
      </w:pPr>
      <w:r>
        <w:br w:type="page"/>
      </w:r>
      <w:r w:rsidR="00030F0B" w:rsidRPr="00630FDF">
        <w:rPr>
          <w:b/>
          <w:sz w:val="28"/>
          <w:szCs w:val="28"/>
        </w:rPr>
        <w:lastRenderedPageBreak/>
        <w:t>Guidelines for Reviewing Loans</w:t>
      </w:r>
    </w:p>
    <w:p w:rsidR="00030F0B" w:rsidRDefault="00030F0B" w:rsidP="00030F0B">
      <w:pPr>
        <w:jc w:val="center"/>
      </w:pPr>
    </w:p>
    <w:p w:rsidR="00030F0B" w:rsidRDefault="00030F0B" w:rsidP="00030F0B"/>
    <w:p w:rsidR="00030F0B" w:rsidRDefault="00030F0B" w:rsidP="00030F0B">
      <w:r>
        <w:t xml:space="preserve">The AEDC loan committee is presented with the very challenging task of ensuring that funds lent are protected as completely as possible. Listed below are several factors used in reviewing loan applications. </w:t>
      </w:r>
    </w:p>
    <w:p w:rsidR="00030F0B" w:rsidRDefault="00030F0B" w:rsidP="00030F0B">
      <w:pPr>
        <w:pStyle w:val="Heading3"/>
      </w:pPr>
      <w:r>
        <w:t>Credit Report</w:t>
      </w:r>
    </w:p>
    <w:p w:rsidR="00030F0B" w:rsidRDefault="00030F0B" w:rsidP="00030F0B">
      <w:pPr>
        <w:ind w:left="540" w:hanging="180"/>
      </w:pPr>
      <w:r>
        <w:t>-</w:t>
      </w:r>
      <w:r>
        <w:tab/>
        <w:t xml:space="preserve">Level of importance relates to size of loan and collateral offered.  </w:t>
      </w:r>
    </w:p>
    <w:p w:rsidR="00030F0B" w:rsidRDefault="00030F0B" w:rsidP="00030F0B">
      <w:pPr>
        <w:ind w:left="540" w:hanging="180"/>
      </w:pPr>
      <w:r>
        <w:t>-</w:t>
      </w:r>
      <w:r>
        <w:tab/>
        <w:t xml:space="preserve">If score is low, reasons for being at that level?  </w:t>
      </w:r>
    </w:p>
    <w:p w:rsidR="00030F0B" w:rsidRDefault="00030F0B" w:rsidP="00030F0B">
      <w:pPr>
        <w:ind w:left="540" w:hanging="180"/>
      </w:pPr>
      <w:r>
        <w:t>-</w:t>
      </w:r>
      <w:r>
        <w:tab/>
        <w:t xml:space="preserve">Are there late payments? When and why?  </w:t>
      </w:r>
    </w:p>
    <w:p w:rsidR="00030F0B" w:rsidRDefault="00080115" w:rsidP="00030F0B">
      <w:pPr>
        <w:ind w:left="540" w:hanging="180"/>
      </w:pPr>
      <w:r>
        <w:t>-</w:t>
      </w:r>
      <w:r>
        <w:tab/>
        <w:t>Amount of credit card debt—</w:t>
      </w:r>
      <w:r w:rsidR="00030F0B">
        <w:t>is it possible to service that debt and service additional loan payments?</w:t>
      </w:r>
    </w:p>
    <w:p w:rsidR="00030F0B" w:rsidRDefault="00030F0B" w:rsidP="00030F0B">
      <w:pPr>
        <w:pStyle w:val="Heading3"/>
      </w:pPr>
      <w:r>
        <w:t>Business Experience</w:t>
      </w:r>
    </w:p>
    <w:p w:rsidR="00030F0B" w:rsidRDefault="00030F0B" w:rsidP="00030F0B">
      <w:pPr>
        <w:ind w:left="540" w:hanging="180"/>
      </w:pPr>
      <w:r>
        <w:t>-</w:t>
      </w:r>
      <w:r>
        <w:tab/>
        <w:t>Is there adequate experience owning and managing a similar business or business of any type (not just management for someone else)?</w:t>
      </w:r>
    </w:p>
    <w:p w:rsidR="00030F0B" w:rsidRDefault="00030F0B" w:rsidP="00030F0B">
      <w:pPr>
        <w:pStyle w:val="Heading3"/>
      </w:pPr>
      <w:r>
        <w:t>Business Startup or Existing</w:t>
      </w:r>
    </w:p>
    <w:p w:rsidR="00030F0B" w:rsidRDefault="00030F0B" w:rsidP="00030F0B">
      <w:pPr>
        <w:ind w:left="540" w:hanging="180"/>
      </w:pPr>
      <w:r>
        <w:t>-</w:t>
      </w:r>
      <w:r>
        <w:tab/>
        <w:t xml:space="preserve">If an existing business, is the loan for true expansion or a means to offset previous business losses?  </w:t>
      </w:r>
    </w:p>
    <w:p w:rsidR="00030F0B" w:rsidRDefault="00030F0B" w:rsidP="00030F0B">
      <w:pPr>
        <w:ind w:left="540" w:hanging="180"/>
      </w:pPr>
      <w:r>
        <w:t>-</w:t>
      </w:r>
      <w:r>
        <w:tab/>
        <w:t>If existing, will the business records indicate the ability for the borrower to manage the business and service additional debt?</w:t>
      </w:r>
    </w:p>
    <w:p w:rsidR="00030F0B" w:rsidRDefault="00030F0B" w:rsidP="00030F0B">
      <w:pPr>
        <w:pStyle w:val="Heading3"/>
      </w:pPr>
      <w:r>
        <w:t>Financial Projections</w:t>
      </w:r>
    </w:p>
    <w:p w:rsidR="00030F0B" w:rsidRDefault="00030F0B" w:rsidP="00030F0B">
      <w:pPr>
        <w:ind w:left="540" w:hanging="180"/>
      </w:pPr>
      <w:r>
        <w:t>-</w:t>
      </w:r>
      <w:r>
        <w:tab/>
        <w:t>Is there a statement addressing projections and changes in the projections (justify and explain)?</w:t>
      </w:r>
    </w:p>
    <w:p w:rsidR="00030F0B" w:rsidRDefault="00030F0B" w:rsidP="00030F0B">
      <w:pPr>
        <w:ind w:left="540" w:hanging="180"/>
      </w:pPr>
      <w:r>
        <w:t>-</w:t>
      </w:r>
      <w:r>
        <w:tab/>
        <w:t>Are the projections realistic or compiled with good intentions and blue sky?</w:t>
      </w:r>
    </w:p>
    <w:p w:rsidR="00030F0B" w:rsidRDefault="00030F0B" w:rsidP="00030F0B">
      <w:pPr>
        <w:ind w:left="540" w:hanging="180"/>
      </w:pPr>
      <w:r>
        <w:t>-</w:t>
      </w:r>
      <w:r>
        <w:tab/>
        <w:t>Will the projections provide for servicing debt and provide the necessary return required for the borrower?</w:t>
      </w:r>
    </w:p>
    <w:p w:rsidR="00030F0B" w:rsidRDefault="00030F0B" w:rsidP="00030F0B">
      <w:pPr>
        <w:pStyle w:val="Heading3"/>
      </w:pPr>
      <w:r>
        <w:t>Outside Employment</w:t>
      </w:r>
    </w:p>
    <w:p w:rsidR="00030F0B" w:rsidRDefault="00030F0B" w:rsidP="00030F0B">
      <w:pPr>
        <w:ind w:left="540" w:hanging="180"/>
      </w:pPr>
      <w:r>
        <w:t>-</w:t>
      </w:r>
      <w:r>
        <w:tab/>
        <w:t>Is outside employment required for viability of the business?</w:t>
      </w:r>
    </w:p>
    <w:p w:rsidR="00030F0B" w:rsidRDefault="00030F0B" w:rsidP="00030F0B">
      <w:pPr>
        <w:ind w:left="540" w:hanging="180"/>
      </w:pPr>
      <w:r>
        <w:t>-</w:t>
      </w:r>
      <w:r>
        <w:tab/>
        <w:t xml:space="preserve">Is there outside employment and will the </w:t>
      </w:r>
      <w:r w:rsidR="007E7F22">
        <w:t>borrower maintains</w:t>
      </w:r>
      <w:r>
        <w:t xml:space="preserve"> that outside employment until the business is able to stand alone?</w:t>
      </w:r>
    </w:p>
    <w:p w:rsidR="00030F0B" w:rsidRDefault="00030F0B" w:rsidP="00030F0B">
      <w:pPr>
        <w:pStyle w:val="Heading3"/>
      </w:pPr>
      <w:r>
        <w:t>Collateral</w:t>
      </w:r>
    </w:p>
    <w:p w:rsidR="00030F0B" w:rsidRDefault="00030F0B" w:rsidP="00030F0B">
      <w:pPr>
        <w:ind w:left="540" w:hanging="180"/>
      </w:pPr>
      <w:r>
        <w:t>-</w:t>
      </w:r>
      <w:r>
        <w:tab/>
        <w:t>Is there sufficient business collateral to protect the loan?</w:t>
      </w:r>
    </w:p>
    <w:p w:rsidR="00030F0B" w:rsidRDefault="00030F0B" w:rsidP="00030F0B">
      <w:pPr>
        <w:ind w:left="540" w:hanging="180"/>
      </w:pPr>
      <w:r>
        <w:t>-</w:t>
      </w:r>
      <w:r>
        <w:tab/>
        <w:t>If there is insufficient business collateral, is there acceptable personal collateral?</w:t>
      </w:r>
    </w:p>
    <w:p w:rsidR="00030F0B" w:rsidRDefault="00030F0B" w:rsidP="00030F0B">
      <w:pPr>
        <w:ind w:left="540" w:hanging="180"/>
      </w:pPr>
      <w:r>
        <w:t>-</w:t>
      </w:r>
      <w:r>
        <w:tab/>
        <w:t>If there is insufficient business and personal collateral, is someone other than borrower willing to pledge adequate collateral, cosign the note, or provide a personal guarantee?</w:t>
      </w:r>
    </w:p>
    <w:p w:rsidR="00030F0B" w:rsidRDefault="00030F0B" w:rsidP="00030F0B">
      <w:pPr>
        <w:ind w:left="540" w:hanging="180"/>
      </w:pPr>
      <w:r>
        <w:t>-</w:t>
      </w:r>
      <w:r>
        <w:tab/>
        <w:t>Inventory for most loans is insufficient for the majority of collateral required?</w:t>
      </w:r>
    </w:p>
    <w:p w:rsidR="00030F0B" w:rsidRDefault="00030F0B" w:rsidP="00030F0B">
      <w:pPr>
        <w:ind w:left="540" w:hanging="180"/>
      </w:pPr>
      <w:r>
        <w:t>-</w:t>
      </w:r>
      <w:r>
        <w:tab/>
        <w:t>Inventory is especially risky for startup businesses and businesses being purchased.</w:t>
      </w:r>
    </w:p>
    <w:p w:rsidR="00030F0B" w:rsidRDefault="00030F0B" w:rsidP="00030F0B">
      <w:pPr>
        <w:ind w:left="540" w:hanging="180"/>
      </w:pPr>
      <w:r>
        <w:t>-</w:t>
      </w:r>
      <w:r>
        <w:tab/>
        <w:t>Types of inventory acceptable (larger items, items with title, ID number, etc.).</w:t>
      </w:r>
    </w:p>
    <w:p w:rsidR="002B2566" w:rsidRPr="00C23B03" w:rsidRDefault="002B2566" w:rsidP="00C23B03">
      <w:pPr>
        <w:tabs>
          <w:tab w:val="left" w:pos="5580"/>
          <w:tab w:val="left" w:pos="7020"/>
          <w:tab w:val="right" w:leader="underscore" w:pos="8460"/>
        </w:tabs>
        <w:rPr>
          <w:b/>
        </w:rPr>
      </w:pPr>
    </w:p>
    <w:sectPr w:rsidR="002B2566" w:rsidRPr="00C23B03" w:rsidSect="00BF06D0">
      <w:type w:val="continuous"/>
      <w:pgSz w:w="12240" w:h="15840" w:code="1"/>
      <w:pgMar w:top="1440" w:right="1440" w:bottom="720" w:left="1440"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26" w:rsidRDefault="00153326">
      <w:r>
        <w:separator/>
      </w:r>
    </w:p>
  </w:endnote>
  <w:endnote w:type="continuationSeparator" w:id="0">
    <w:p w:rsidR="00153326" w:rsidRDefault="00153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us MT">
    <w:altName w:val="Albertus Medium"/>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D0" w:rsidRPr="00156531" w:rsidRDefault="00BF06D0" w:rsidP="00156531">
    <w:pPr>
      <w:pStyle w:val="Footer"/>
      <w:jc w:val="center"/>
      <w:rPr>
        <w:sz w:val="20"/>
        <w:szCs w:val="20"/>
      </w:rPr>
    </w:pPr>
    <w:r w:rsidRPr="00156531">
      <w:rPr>
        <w:rStyle w:val="PageNumber"/>
        <w:sz w:val="20"/>
        <w:szCs w:val="20"/>
      </w:rPr>
      <w:fldChar w:fldCharType="begin"/>
    </w:r>
    <w:r w:rsidRPr="00156531">
      <w:rPr>
        <w:rStyle w:val="PageNumber"/>
        <w:sz w:val="20"/>
        <w:szCs w:val="20"/>
      </w:rPr>
      <w:instrText xml:space="preserve"> PAGE </w:instrText>
    </w:r>
    <w:r w:rsidRPr="00156531">
      <w:rPr>
        <w:rStyle w:val="PageNumber"/>
        <w:sz w:val="20"/>
        <w:szCs w:val="20"/>
      </w:rPr>
      <w:fldChar w:fldCharType="separate"/>
    </w:r>
    <w:r w:rsidR="00EC53E8">
      <w:rPr>
        <w:rStyle w:val="PageNumber"/>
        <w:noProof/>
        <w:sz w:val="20"/>
        <w:szCs w:val="20"/>
      </w:rPr>
      <w:t>4</w:t>
    </w:r>
    <w:r w:rsidRPr="0015653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D0" w:rsidRDefault="00EC53E8">
    <w:pPr>
      <w:pStyle w:val="Footer"/>
    </w:pPr>
    <w:r>
      <w:rPr>
        <w:noProof/>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-1539240</wp:posOffset>
          </wp:positionV>
          <wp:extent cx="8229600" cy="2209165"/>
          <wp:effectExtent l="19050" t="0" r="0" b="0"/>
          <wp:wrapNone/>
          <wp:docPr id="6" name="Picture 6" descr="letterhead2_green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2_greenbottom"/>
                  <pic:cNvPicPr>
                    <a:picLocks noChangeAspect="1" noChangeArrowheads="1"/>
                  </pic:cNvPicPr>
                </pic:nvPicPr>
                <pic:blipFill>
                  <a:blip r:embed="rId1"/>
                  <a:srcRect/>
                  <a:stretch>
                    <a:fillRect/>
                  </a:stretch>
                </pic:blipFill>
                <pic:spPr bwMode="auto">
                  <a:xfrm>
                    <a:off x="0" y="0"/>
                    <a:ext cx="8229600" cy="220916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26" w:rsidRDefault="00153326">
      <w:r>
        <w:separator/>
      </w:r>
    </w:p>
  </w:footnote>
  <w:footnote w:type="continuationSeparator" w:id="0">
    <w:p w:rsidR="00153326" w:rsidRDefault="00153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D0" w:rsidRDefault="00EC53E8">
    <w:pPr>
      <w:pStyle w:val="Header"/>
    </w:pPr>
    <w:r>
      <w:rPr>
        <w:noProof/>
      </w:rPr>
      <w:drawing>
        <wp:anchor distT="0" distB="0" distL="114300" distR="114300" simplePos="0" relativeHeight="251657216" behindDoc="1" locked="0" layoutInCell="1" allowOverlap="1">
          <wp:simplePos x="0" y="0"/>
          <wp:positionH relativeFrom="column">
            <wp:posOffset>-914400</wp:posOffset>
          </wp:positionH>
          <wp:positionV relativeFrom="paragraph">
            <wp:posOffset>0</wp:posOffset>
          </wp:positionV>
          <wp:extent cx="7772400" cy="1983105"/>
          <wp:effectExtent l="19050" t="0" r="0" b="0"/>
          <wp:wrapNone/>
          <wp:docPr id="3" name="Picture 3" descr="letterhead2_gree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2_greentop"/>
                  <pic:cNvPicPr>
                    <a:picLocks noChangeAspect="1" noChangeArrowheads="1"/>
                  </pic:cNvPicPr>
                </pic:nvPicPr>
                <pic:blipFill>
                  <a:blip r:embed="rId1"/>
                  <a:srcRect/>
                  <a:stretch>
                    <a:fillRect/>
                  </a:stretch>
                </pic:blipFill>
                <pic:spPr bwMode="auto">
                  <a:xfrm>
                    <a:off x="0" y="0"/>
                    <a:ext cx="7772400" cy="198310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748DB4"/>
    <w:lvl w:ilvl="0">
      <w:start w:val="1"/>
      <w:numFmt w:val="decimal"/>
      <w:lvlText w:val="%1."/>
      <w:lvlJc w:val="left"/>
      <w:pPr>
        <w:tabs>
          <w:tab w:val="num" w:pos="1800"/>
        </w:tabs>
        <w:ind w:left="1800" w:hanging="360"/>
      </w:pPr>
    </w:lvl>
  </w:abstractNum>
  <w:abstractNum w:abstractNumId="1">
    <w:nsid w:val="FFFFFF7D"/>
    <w:multiLevelType w:val="singleLevel"/>
    <w:tmpl w:val="51C200BE"/>
    <w:lvl w:ilvl="0">
      <w:start w:val="1"/>
      <w:numFmt w:val="decimal"/>
      <w:lvlText w:val="%1."/>
      <w:lvlJc w:val="left"/>
      <w:pPr>
        <w:tabs>
          <w:tab w:val="num" w:pos="1440"/>
        </w:tabs>
        <w:ind w:left="1440" w:hanging="360"/>
      </w:pPr>
    </w:lvl>
  </w:abstractNum>
  <w:abstractNum w:abstractNumId="2">
    <w:nsid w:val="FFFFFF7E"/>
    <w:multiLevelType w:val="singleLevel"/>
    <w:tmpl w:val="0C825A44"/>
    <w:lvl w:ilvl="0">
      <w:start w:val="1"/>
      <w:numFmt w:val="decimal"/>
      <w:lvlText w:val="%1."/>
      <w:lvlJc w:val="left"/>
      <w:pPr>
        <w:tabs>
          <w:tab w:val="num" w:pos="1080"/>
        </w:tabs>
        <w:ind w:left="1080" w:hanging="360"/>
      </w:pPr>
    </w:lvl>
  </w:abstractNum>
  <w:abstractNum w:abstractNumId="3">
    <w:nsid w:val="FFFFFF7F"/>
    <w:multiLevelType w:val="singleLevel"/>
    <w:tmpl w:val="621E7FEC"/>
    <w:lvl w:ilvl="0">
      <w:start w:val="1"/>
      <w:numFmt w:val="decimal"/>
      <w:lvlText w:val="%1."/>
      <w:lvlJc w:val="left"/>
      <w:pPr>
        <w:tabs>
          <w:tab w:val="num" w:pos="720"/>
        </w:tabs>
        <w:ind w:left="720" w:hanging="360"/>
      </w:pPr>
    </w:lvl>
  </w:abstractNum>
  <w:abstractNum w:abstractNumId="4">
    <w:nsid w:val="FFFFFF80"/>
    <w:multiLevelType w:val="singleLevel"/>
    <w:tmpl w:val="6478B9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74A8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604C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AC1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9CADE72"/>
    <w:lvl w:ilvl="0">
      <w:start w:val="1"/>
      <w:numFmt w:val="decimal"/>
      <w:lvlText w:val="%1."/>
      <w:lvlJc w:val="left"/>
      <w:pPr>
        <w:tabs>
          <w:tab w:val="num" w:pos="360"/>
        </w:tabs>
        <w:ind w:left="360" w:hanging="360"/>
      </w:pPr>
    </w:lvl>
  </w:abstractNum>
  <w:abstractNum w:abstractNumId="9">
    <w:nsid w:val="FFFFFF89"/>
    <w:multiLevelType w:val="singleLevel"/>
    <w:tmpl w:val="D232588E"/>
    <w:lvl w:ilvl="0">
      <w:start w:val="1"/>
      <w:numFmt w:val="bullet"/>
      <w:lvlText w:val=""/>
      <w:lvlJc w:val="left"/>
      <w:pPr>
        <w:tabs>
          <w:tab w:val="num" w:pos="360"/>
        </w:tabs>
        <w:ind w:left="360" w:hanging="360"/>
      </w:pPr>
      <w:rPr>
        <w:rFonts w:ascii="Symbol" w:hAnsi="Symbol" w:hint="default"/>
      </w:rPr>
    </w:lvl>
  </w:abstractNum>
  <w:abstractNum w:abstractNumId="10">
    <w:nsid w:val="5104585C"/>
    <w:multiLevelType w:val="hybridMultilevel"/>
    <w:tmpl w:val="19A63B44"/>
    <w:lvl w:ilvl="0" w:tplc="6AF48C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C411D1"/>
    <w:rsid w:val="00030F0B"/>
    <w:rsid w:val="000524E2"/>
    <w:rsid w:val="00080115"/>
    <w:rsid w:val="00082375"/>
    <w:rsid w:val="000C1593"/>
    <w:rsid w:val="00153326"/>
    <w:rsid w:val="00156531"/>
    <w:rsid w:val="002268BB"/>
    <w:rsid w:val="0029793D"/>
    <w:rsid w:val="002A752B"/>
    <w:rsid w:val="002B2566"/>
    <w:rsid w:val="002D3650"/>
    <w:rsid w:val="003031FD"/>
    <w:rsid w:val="003802A6"/>
    <w:rsid w:val="003C64CC"/>
    <w:rsid w:val="003F7AB7"/>
    <w:rsid w:val="004150D5"/>
    <w:rsid w:val="004E7C99"/>
    <w:rsid w:val="005515C1"/>
    <w:rsid w:val="0055531C"/>
    <w:rsid w:val="005A4942"/>
    <w:rsid w:val="005F3660"/>
    <w:rsid w:val="006252DE"/>
    <w:rsid w:val="00630FDF"/>
    <w:rsid w:val="00642403"/>
    <w:rsid w:val="00645C3C"/>
    <w:rsid w:val="0066772F"/>
    <w:rsid w:val="007D78B1"/>
    <w:rsid w:val="007E7F22"/>
    <w:rsid w:val="00805933"/>
    <w:rsid w:val="00827751"/>
    <w:rsid w:val="00866BF8"/>
    <w:rsid w:val="008D435C"/>
    <w:rsid w:val="009276DC"/>
    <w:rsid w:val="00984C22"/>
    <w:rsid w:val="00A01C55"/>
    <w:rsid w:val="00A30301"/>
    <w:rsid w:val="00A85599"/>
    <w:rsid w:val="00AC5EAA"/>
    <w:rsid w:val="00AE7F4F"/>
    <w:rsid w:val="00AF3726"/>
    <w:rsid w:val="00B20B18"/>
    <w:rsid w:val="00B403F8"/>
    <w:rsid w:val="00B8489F"/>
    <w:rsid w:val="00BE4E23"/>
    <w:rsid w:val="00BF06D0"/>
    <w:rsid w:val="00C05BC9"/>
    <w:rsid w:val="00C23B03"/>
    <w:rsid w:val="00C314BD"/>
    <w:rsid w:val="00C411D1"/>
    <w:rsid w:val="00C604E8"/>
    <w:rsid w:val="00C8655D"/>
    <w:rsid w:val="00CC21FC"/>
    <w:rsid w:val="00D27885"/>
    <w:rsid w:val="00DE6826"/>
    <w:rsid w:val="00E4797D"/>
    <w:rsid w:val="00E75F21"/>
    <w:rsid w:val="00EA048B"/>
    <w:rsid w:val="00EC53E8"/>
    <w:rsid w:val="00EE5176"/>
    <w:rsid w:val="00F26EAD"/>
    <w:rsid w:val="00F42EE0"/>
    <w:rsid w:val="00F63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8655D"/>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spacing w:before="0" w:after="0"/>
    </w:pPr>
    <w:rPr>
      <w:rFonts w:ascii="Albertus MT" w:hAnsi="Albertus MT"/>
      <w:b w:val="0"/>
      <w:bCs w:val="0"/>
      <w:color w:val="808080"/>
      <w:kern w:val="0"/>
      <w:sz w:val="44"/>
      <w:szCs w:val="4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Title">
    <w:name w:val="Title"/>
    <w:basedOn w:val="Normal"/>
    <w:qFormat/>
    <w:rsid w:val="00030F0B"/>
    <w:pPr>
      <w:jc w:val="center"/>
    </w:pPr>
    <w:rPr>
      <w:b/>
      <w:bCs/>
    </w:rPr>
  </w:style>
  <w:style w:type="paragraph" w:styleId="BalloonText">
    <w:name w:val="Balloon Text"/>
    <w:basedOn w:val="Normal"/>
    <w:semiHidden/>
    <w:rsid w:val="009276DC"/>
    <w:rPr>
      <w:rFonts w:ascii="Tahoma" w:hAnsi="Tahoma" w:cs="Tahoma"/>
      <w:sz w:val="16"/>
      <w:szCs w:val="16"/>
    </w:rPr>
  </w:style>
  <w:style w:type="paragraph" w:customStyle="1" w:styleId="parthead">
    <w:name w:val="part head"/>
    <w:basedOn w:val="Normal"/>
    <w:rsid w:val="00E4797D"/>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b/>
      <w:caps/>
      <w:shadow/>
      <w:sz w:val="26"/>
      <w:szCs w:val="20"/>
    </w:rPr>
  </w:style>
  <w:style w:type="table" w:styleId="TableList4">
    <w:name w:val="Table List 4"/>
    <w:basedOn w:val="TableNormal"/>
    <w:rsid w:val="00E4797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odyText">
    <w:name w:val="Body Text"/>
    <w:basedOn w:val="Normal"/>
    <w:rsid w:val="00C604E8"/>
    <w:pPr>
      <w:spacing w:after="120"/>
    </w:pPr>
  </w:style>
  <w:style w:type="character" w:styleId="PageNumber">
    <w:name w:val="page number"/>
    <w:basedOn w:val="DefaultParagraphFont"/>
    <w:rsid w:val="001565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Desktop\AEDC\AEDC%20Logo\AED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AEDC Letterhead</Template>
  <TotalTime>0</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May 25, 2007</vt:lpstr>
    </vt:vector>
  </TitlesOfParts>
  <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25, 2007</dc:title>
  <dc:creator>Kristi</dc:creator>
  <cp:lastModifiedBy>AEDC</cp:lastModifiedBy>
  <cp:revision>2</cp:revision>
  <cp:lastPrinted>2014-08-29T18:32:00Z</cp:lastPrinted>
  <dcterms:created xsi:type="dcterms:W3CDTF">2014-08-29T18:32:00Z</dcterms:created>
  <dcterms:modified xsi:type="dcterms:W3CDTF">2014-08-29T18:32:00Z</dcterms:modified>
</cp:coreProperties>
</file>